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1F842" w14:textId="7868165D" w:rsidR="00BB65A6" w:rsidRPr="00633279" w:rsidRDefault="00BB65A6" w:rsidP="00343785">
      <w:pPr>
        <w:suppressAutoHyphens w:val="0"/>
        <w:spacing w:after="200" w:line="276" w:lineRule="auto"/>
        <w:jc w:val="center"/>
        <w:textAlignment w:val="auto"/>
        <w:rPr>
          <w:rFonts w:ascii="Arial" w:hAnsi="Arial"/>
          <w:b/>
          <w:szCs w:val="20"/>
        </w:rPr>
      </w:pPr>
      <w:bookmarkStart w:id="0" w:name="_Hlk157583856"/>
      <w:r w:rsidRPr="00633279">
        <w:rPr>
          <w:rFonts w:ascii="Arial" w:hAnsi="Arial"/>
          <w:b/>
          <w:szCs w:val="20"/>
        </w:rPr>
        <w:t>Laboratorní vyšetřování k průkazu známek infekce dárců krve a/nebo krevní složky</w:t>
      </w:r>
    </w:p>
    <w:bookmarkEnd w:id="0"/>
    <w:p w14:paraId="3C58913C" w14:textId="6A408D22" w:rsidR="00E87CC4" w:rsidRPr="00633279" w:rsidRDefault="009A7531" w:rsidP="00343785">
      <w:pPr>
        <w:suppressAutoHyphens w:val="0"/>
        <w:spacing w:after="200" w:line="276" w:lineRule="auto"/>
        <w:jc w:val="center"/>
        <w:textAlignment w:val="auto"/>
        <w:rPr>
          <w:rFonts w:ascii="Arial" w:eastAsia="Calibri" w:hAnsi="Arial"/>
          <w:b/>
          <w:kern w:val="0"/>
          <w:szCs w:val="20"/>
          <w:lang w:eastAsia="en-US" w:bidi="ar-SA"/>
        </w:rPr>
      </w:pPr>
      <w:r w:rsidRPr="00633279">
        <w:rPr>
          <w:rFonts w:ascii="Arial" w:eastAsia="Calibri" w:hAnsi="Arial"/>
          <w:b/>
          <w:kern w:val="0"/>
          <w:szCs w:val="20"/>
          <w:lang w:eastAsia="en-US" w:bidi="ar-SA"/>
        </w:rPr>
        <w:t xml:space="preserve">Technická specifikace </w:t>
      </w:r>
      <w:r w:rsidR="00E87CC4" w:rsidRPr="00633279">
        <w:rPr>
          <w:rFonts w:ascii="Arial" w:eastAsia="Calibri" w:hAnsi="Arial"/>
          <w:b/>
          <w:kern w:val="0"/>
          <w:szCs w:val="20"/>
          <w:lang w:eastAsia="en-US" w:bidi="ar-SA"/>
        </w:rPr>
        <w:t xml:space="preserve">pro část </w:t>
      </w:r>
      <w:r w:rsidR="00937E2C" w:rsidRPr="00633279">
        <w:rPr>
          <w:rFonts w:ascii="Arial" w:eastAsia="Calibri" w:hAnsi="Arial"/>
          <w:b/>
          <w:kern w:val="0"/>
          <w:szCs w:val="20"/>
          <w:lang w:eastAsia="en-US" w:bidi="ar-SA"/>
        </w:rPr>
        <w:t>1</w:t>
      </w:r>
      <w:r w:rsidR="00DE728A">
        <w:rPr>
          <w:rFonts w:ascii="Arial" w:eastAsia="Calibri" w:hAnsi="Arial"/>
          <w:b/>
          <w:kern w:val="0"/>
          <w:szCs w:val="20"/>
          <w:lang w:eastAsia="en-US" w:bidi="ar-SA"/>
        </w:rPr>
        <w:t>:</w:t>
      </w:r>
      <w:r w:rsidR="00BB65A6" w:rsidRPr="00633279">
        <w:rPr>
          <w:rFonts w:ascii="Arial" w:eastAsia="Calibri" w:hAnsi="Arial"/>
          <w:b/>
          <w:kern w:val="0"/>
          <w:szCs w:val="20"/>
          <w:lang w:eastAsia="en-US" w:bidi="ar-SA"/>
        </w:rPr>
        <w:t xml:space="preserve"> </w:t>
      </w:r>
    </w:p>
    <w:p w14:paraId="675D7932" w14:textId="3C4FAADE" w:rsidR="00A911C8" w:rsidRPr="00DC728F" w:rsidRDefault="00E87CC4" w:rsidP="00343785">
      <w:pPr>
        <w:suppressAutoHyphens w:val="0"/>
        <w:spacing w:after="200" w:line="276" w:lineRule="auto"/>
        <w:jc w:val="center"/>
        <w:textAlignment w:val="auto"/>
        <w:rPr>
          <w:rFonts w:ascii="Arial" w:eastAsia="Calibri" w:hAnsi="Arial"/>
          <w:b/>
          <w:kern w:val="0"/>
          <w:szCs w:val="20"/>
          <w:lang w:eastAsia="en-US" w:bidi="ar-SA"/>
        </w:rPr>
      </w:pPr>
      <w:r w:rsidRPr="00DC728F">
        <w:rPr>
          <w:rFonts w:ascii="Arial" w:eastAsia="Calibri" w:hAnsi="Arial"/>
          <w:b/>
          <w:kern w:val="0"/>
          <w:szCs w:val="20"/>
          <w:lang w:eastAsia="en-US" w:bidi="ar-SA"/>
        </w:rPr>
        <w:t>S</w:t>
      </w:r>
      <w:r w:rsidR="00BB65A6" w:rsidRPr="00DC728F">
        <w:rPr>
          <w:rFonts w:ascii="Arial" w:eastAsia="Calibri" w:hAnsi="Arial"/>
          <w:b/>
          <w:kern w:val="0"/>
          <w:szCs w:val="20"/>
          <w:lang w:eastAsia="en-US" w:bidi="ar-SA"/>
        </w:rPr>
        <w:t>érologické vyšetření infekčních markerů na principu chemiluminiscence</w:t>
      </w:r>
    </w:p>
    <w:p w14:paraId="56145F08" w14:textId="77777777" w:rsidR="00E87CC4" w:rsidRPr="00633279" w:rsidRDefault="00E87CC4" w:rsidP="001E6B62">
      <w:pPr>
        <w:jc w:val="both"/>
        <w:rPr>
          <w:rFonts w:ascii="Arial" w:hAnsi="Arial"/>
          <w:b/>
          <w:sz w:val="20"/>
          <w:szCs w:val="20"/>
        </w:rPr>
      </w:pPr>
    </w:p>
    <w:p w14:paraId="44651BE7" w14:textId="494779B1" w:rsidR="001E6B62" w:rsidRPr="00633279" w:rsidRDefault="00343785" w:rsidP="001E6B62">
      <w:pPr>
        <w:jc w:val="both"/>
        <w:rPr>
          <w:rFonts w:ascii="Arial" w:hAnsi="Arial"/>
          <w:b/>
          <w:sz w:val="20"/>
          <w:szCs w:val="20"/>
        </w:rPr>
      </w:pPr>
      <w:r w:rsidRPr="00633279">
        <w:rPr>
          <w:rFonts w:ascii="Arial" w:hAnsi="Arial"/>
          <w:b/>
          <w:sz w:val="20"/>
          <w:szCs w:val="20"/>
        </w:rPr>
        <w:t>Popis:</w:t>
      </w:r>
    </w:p>
    <w:p w14:paraId="0030A5AA" w14:textId="5512B17F" w:rsidR="00BB65A6" w:rsidRPr="00633279" w:rsidRDefault="00BB65A6" w:rsidP="00BB65A6">
      <w:pPr>
        <w:autoSpaceDE w:val="0"/>
        <w:adjustRightInd w:val="0"/>
        <w:jc w:val="both"/>
        <w:rPr>
          <w:rFonts w:ascii="Arial" w:hAnsi="Arial"/>
          <w:sz w:val="20"/>
          <w:szCs w:val="20"/>
        </w:rPr>
      </w:pPr>
      <w:r w:rsidRPr="00633279">
        <w:rPr>
          <w:rFonts w:ascii="Arial" w:hAnsi="Arial"/>
          <w:sz w:val="20"/>
          <w:szCs w:val="20"/>
        </w:rPr>
        <w:t xml:space="preserve">Dodávka vázaného spotřebního materiálu a bezúplatná výpůjčka 2 </w:t>
      </w:r>
      <w:r w:rsidR="006220E0">
        <w:rPr>
          <w:rFonts w:ascii="Arial" w:hAnsi="Arial"/>
          <w:sz w:val="20"/>
          <w:szCs w:val="20"/>
        </w:rPr>
        <w:t xml:space="preserve">ks </w:t>
      </w:r>
      <w:r w:rsidRPr="00633279">
        <w:rPr>
          <w:rFonts w:ascii="Arial" w:hAnsi="Arial"/>
          <w:color w:val="444444"/>
          <w:sz w:val="20"/>
          <w:szCs w:val="20"/>
        </w:rPr>
        <w:t xml:space="preserve">plně automatických imunochemických analyzátorů </w:t>
      </w:r>
      <w:r w:rsidR="006220E0" w:rsidRPr="006220E0">
        <w:rPr>
          <w:rFonts w:ascii="Arial" w:hAnsi="Arial"/>
          <w:color w:val="444444"/>
          <w:sz w:val="20"/>
          <w:szCs w:val="20"/>
        </w:rPr>
        <w:t xml:space="preserve">pracujících na principu chemiluminiscence s příslušenstvím a zajištění jejich servisu. </w:t>
      </w:r>
      <w:r w:rsidR="00DE2643">
        <w:rPr>
          <w:rFonts w:ascii="Arial" w:hAnsi="Arial"/>
          <w:color w:val="444444"/>
          <w:sz w:val="20"/>
          <w:szCs w:val="20"/>
        </w:rPr>
        <w:t xml:space="preserve">Jeden kus analyzátoru bude umístěn na </w:t>
      </w:r>
      <w:r w:rsidRPr="00633279">
        <w:rPr>
          <w:rFonts w:ascii="Arial" w:hAnsi="Arial"/>
          <w:color w:val="444444"/>
          <w:sz w:val="20"/>
          <w:szCs w:val="20"/>
        </w:rPr>
        <w:t>Transfuzní</w:t>
      </w:r>
      <w:r w:rsidR="00DE2643">
        <w:rPr>
          <w:rFonts w:ascii="Arial" w:hAnsi="Arial"/>
          <w:color w:val="444444"/>
          <w:sz w:val="20"/>
          <w:szCs w:val="20"/>
        </w:rPr>
        <w:t>m</w:t>
      </w:r>
      <w:r w:rsidRPr="00633279">
        <w:rPr>
          <w:rFonts w:ascii="Arial" w:hAnsi="Arial"/>
          <w:color w:val="444444"/>
          <w:sz w:val="20"/>
          <w:szCs w:val="20"/>
        </w:rPr>
        <w:t xml:space="preserve"> oddělení Masarykovy nemocnice v Ústí nad Labem, o.z.</w:t>
      </w:r>
      <w:r w:rsidR="00E24B32" w:rsidRPr="00633279">
        <w:rPr>
          <w:rFonts w:ascii="Arial" w:hAnsi="Arial"/>
          <w:color w:val="444444"/>
          <w:sz w:val="20"/>
          <w:szCs w:val="20"/>
        </w:rPr>
        <w:t>,</w:t>
      </w:r>
      <w:r w:rsidRPr="00633279">
        <w:rPr>
          <w:rFonts w:ascii="Arial" w:hAnsi="Arial"/>
          <w:color w:val="444444"/>
          <w:sz w:val="20"/>
          <w:szCs w:val="20"/>
        </w:rPr>
        <w:t xml:space="preserve"> a </w:t>
      </w:r>
      <w:r w:rsidR="00DE2643">
        <w:rPr>
          <w:rFonts w:ascii="Arial" w:hAnsi="Arial"/>
          <w:color w:val="444444"/>
          <w:sz w:val="20"/>
          <w:szCs w:val="20"/>
        </w:rPr>
        <w:t>druhý na</w:t>
      </w:r>
      <w:r w:rsidRPr="00633279">
        <w:rPr>
          <w:rFonts w:ascii="Arial" w:hAnsi="Arial"/>
          <w:color w:val="444444"/>
          <w:sz w:val="20"/>
          <w:szCs w:val="20"/>
        </w:rPr>
        <w:t xml:space="preserve"> Hematologicko-transfuzní</w:t>
      </w:r>
      <w:r w:rsidR="00DE2643">
        <w:rPr>
          <w:rFonts w:ascii="Arial" w:hAnsi="Arial"/>
          <w:color w:val="444444"/>
          <w:sz w:val="20"/>
          <w:szCs w:val="20"/>
        </w:rPr>
        <w:t>m</w:t>
      </w:r>
      <w:r w:rsidRPr="00633279">
        <w:rPr>
          <w:rFonts w:ascii="Arial" w:hAnsi="Arial"/>
          <w:color w:val="444444"/>
          <w:sz w:val="20"/>
          <w:szCs w:val="20"/>
        </w:rPr>
        <w:t xml:space="preserve"> oddělení Nemocnice Chomutov, o.z. </w:t>
      </w:r>
    </w:p>
    <w:p w14:paraId="2442B26C" w14:textId="77777777" w:rsidR="00633279" w:rsidRPr="00633279" w:rsidRDefault="00633279" w:rsidP="007E39E9">
      <w:pPr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</w:p>
    <w:p w14:paraId="72592D60" w14:textId="4DDFF83A" w:rsidR="007E39E9" w:rsidRPr="00633279" w:rsidRDefault="007E39E9" w:rsidP="007E39E9">
      <w:pPr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  <w:r w:rsidRPr="00633279"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  <w:t>Předpokládaný počet vyšetření:</w:t>
      </w:r>
    </w:p>
    <w:p w14:paraId="1726D1DB" w14:textId="77777777" w:rsidR="000759F0" w:rsidRPr="00633279" w:rsidRDefault="000759F0" w:rsidP="007E39E9">
      <w:pPr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</w:p>
    <w:p w14:paraId="2A176862" w14:textId="47C2418D" w:rsidR="005E1A0D" w:rsidRPr="00633279" w:rsidRDefault="005E1A0D" w:rsidP="005E1A0D">
      <w:pPr>
        <w:rPr>
          <w:rFonts w:ascii="Arial" w:hAnsi="Arial"/>
          <w:sz w:val="20"/>
          <w:szCs w:val="20"/>
        </w:rPr>
      </w:pPr>
      <w:r w:rsidRPr="00633279">
        <w:rPr>
          <w:rFonts w:ascii="Arial" w:hAnsi="Arial"/>
          <w:sz w:val="20"/>
          <w:szCs w:val="20"/>
        </w:rPr>
        <w:t xml:space="preserve">Tabulka č. 1: Spektrum požadovaných analytů </w:t>
      </w:r>
      <w:r w:rsidR="000759F0" w:rsidRPr="00633279">
        <w:rPr>
          <w:rFonts w:ascii="Arial" w:hAnsi="Arial"/>
          <w:sz w:val="20"/>
          <w:szCs w:val="20"/>
        </w:rPr>
        <w:t>část 1</w:t>
      </w:r>
    </w:p>
    <w:p w14:paraId="70A21B70" w14:textId="77777777" w:rsidR="00A911C8" w:rsidRPr="00633279" w:rsidRDefault="00A911C8" w:rsidP="005E1A0D">
      <w:pPr>
        <w:rPr>
          <w:rFonts w:ascii="Arial" w:hAnsi="Arial"/>
          <w:sz w:val="20"/>
          <w:szCs w:val="20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371"/>
        <w:gridCol w:w="2126"/>
      </w:tblGrid>
      <w:tr w:rsidR="00811380" w:rsidRPr="00633279" w14:paraId="76E53573" w14:textId="77777777" w:rsidTr="008304DE">
        <w:tc>
          <w:tcPr>
            <w:tcW w:w="5371" w:type="dxa"/>
          </w:tcPr>
          <w:p w14:paraId="075EE383" w14:textId="77777777" w:rsidR="00811380" w:rsidRPr="00633279" w:rsidRDefault="00811380" w:rsidP="008304DE">
            <w:pPr>
              <w:pStyle w:val="Standard"/>
              <w:spacing w:before="6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4ACE9D" w14:textId="23436EB9" w:rsidR="00811380" w:rsidRPr="00633279" w:rsidRDefault="00811380" w:rsidP="008304DE">
            <w:pPr>
              <w:pStyle w:val="Standard"/>
              <w:spacing w:before="6"/>
              <w:jc w:val="center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Předpokládaný počet</w:t>
            </w:r>
            <w:r w:rsidR="007E39E9" w:rsidRPr="00633279">
              <w:rPr>
                <w:rFonts w:ascii="Arial" w:hAnsi="Arial"/>
                <w:sz w:val="20"/>
                <w:szCs w:val="20"/>
              </w:rPr>
              <w:t xml:space="preserve">** </w:t>
            </w:r>
            <w:r w:rsidRPr="00633279">
              <w:rPr>
                <w:rFonts w:ascii="Arial" w:hAnsi="Arial"/>
                <w:sz w:val="20"/>
                <w:szCs w:val="20"/>
              </w:rPr>
              <w:t>vyšetření za rok</w:t>
            </w:r>
          </w:p>
        </w:tc>
      </w:tr>
      <w:tr w:rsidR="00811380" w:rsidRPr="00633279" w14:paraId="6B41F88D" w14:textId="77777777" w:rsidTr="008304DE">
        <w:tc>
          <w:tcPr>
            <w:tcW w:w="5371" w:type="dxa"/>
          </w:tcPr>
          <w:p w14:paraId="26E0A974" w14:textId="045DC801" w:rsidR="00811380" w:rsidRPr="00633279" w:rsidRDefault="00811380" w:rsidP="008304DE">
            <w:pPr>
              <w:pStyle w:val="Standard"/>
              <w:spacing w:before="6"/>
              <w:rPr>
                <w:rFonts w:ascii="Arial" w:hAnsi="Arial"/>
                <w:b/>
                <w:sz w:val="20"/>
                <w:szCs w:val="20"/>
              </w:rPr>
            </w:pPr>
            <w:r w:rsidRPr="00633279">
              <w:rPr>
                <w:rFonts w:ascii="Arial" w:hAnsi="Arial"/>
                <w:bCs/>
                <w:iCs/>
                <w:sz w:val="20"/>
                <w:szCs w:val="20"/>
              </w:rPr>
              <w:t>HBsAg</w:t>
            </w:r>
          </w:p>
        </w:tc>
        <w:tc>
          <w:tcPr>
            <w:tcW w:w="2126" w:type="dxa"/>
          </w:tcPr>
          <w:p w14:paraId="13D19B5D" w14:textId="018FB074" w:rsidR="00811380" w:rsidRPr="00633279" w:rsidRDefault="00811380" w:rsidP="008304DE">
            <w:pPr>
              <w:pStyle w:val="Standard"/>
              <w:spacing w:before="6"/>
              <w:jc w:val="center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42 000</w:t>
            </w:r>
          </w:p>
        </w:tc>
      </w:tr>
      <w:tr w:rsidR="00811380" w:rsidRPr="00633279" w14:paraId="5A045FAE" w14:textId="77777777" w:rsidTr="008304DE">
        <w:tc>
          <w:tcPr>
            <w:tcW w:w="5371" w:type="dxa"/>
            <w:vAlign w:val="center"/>
          </w:tcPr>
          <w:p w14:paraId="5CE93B26" w14:textId="526989AA" w:rsidR="00811380" w:rsidRPr="00633279" w:rsidRDefault="00811380" w:rsidP="00811380">
            <w:pPr>
              <w:pStyle w:val="Standard"/>
              <w:spacing w:before="6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bCs/>
                <w:iCs/>
                <w:sz w:val="20"/>
                <w:szCs w:val="20"/>
              </w:rPr>
              <w:t>Anti-HCV</w:t>
            </w:r>
          </w:p>
        </w:tc>
        <w:tc>
          <w:tcPr>
            <w:tcW w:w="2126" w:type="dxa"/>
          </w:tcPr>
          <w:p w14:paraId="7A8EF971" w14:textId="0A8B7F01" w:rsidR="00811380" w:rsidRPr="00633279" w:rsidRDefault="00811380" w:rsidP="0081138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42 000</w:t>
            </w:r>
          </w:p>
        </w:tc>
      </w:tr>
      <w:tr w:rsidR="00811380" w:rsidRPr="00633279" w14:paraId="4786B06F" w14:textId="77777777" w:rsidTr="008304DE">
        <w:tc>
          <w:tcPr>
            <w:tcW w:w="5371" w:type="dxa"/>
            <w:vAlign w:val="center"/>
          </w:tcPr>
          <w:p w14:paraId="74D78B52" w14:textId="7A9D6851" w:rsidR="00811380" w:rsidRPr="00633279" w:rsidRDefault="00811380" w:rsidP="00811380">
            <w:pPr>
              <w:pStyle w:val="Standard"/>
              <w:spacing w:before="6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bCs/>
                <w:iCs/>
                <w:sz w:val="20"/>
                <w:szCs w:val="20"/>
              </w:rPr>
              <w:t xml:space="preserve">Anti-HIV1, 2 + Ag p24  </w:t>
            </w:r>
          </w:p>
        </w:tc>
        <w:tc>
          <w:tcPr>
            <w:tcW w:w="2126" w:type="dxa"/>
          </w:tcPr>
          <w:p w14:paraId="0C08C553" w14:textId="249410EC" w:rsidR="00811380" w:rsidRPr="00633279" w:rsidRDefault="00811380" w:rsidP="0081138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42 000</w:t>
            </w:r>
          </w:p>
        </w:tc>
      </w:tr>
      <w:tr w:rsidR="00811380" w:rsidRPr="00633279" w14:paraId="2CEDFF64" w14:textId="77777777" w:rsidTr="008304DE">
        <w:tc>
          <w:tcPr>
            <w:tcW w:w="5371" w:type="dxa"/>
            <w:vAlign w:val="center"/>
          </w:tcPr>
          <w:p w14:paraId="152B5D68" w14:textId="5A86CD37" w:rsidR="00811380" w:rsidRPr="00633279" w:rsidRDefault="00811380" w:rsidP="00811380">
            <w:pPr>
              <w:pStyle w:val="Standard"/>
              <w:spacing w:before="6"/>
              <w:rPr>
                <w:rFonts w:ascii="Arial" w:hAnsi="Arial"/>
                <w:color w:val="000000"/>
                <w:sz w:val="20"/>
                <w:szCs w:val="20"/>
              </w:rPr>
            </w:pPr>
            <w:r w:rsidRPr="00633279">
              <w:rPr>
                <w:rFonts w:ascii="Arial" w:hAnsi="Arial"/>
                <w:bCs/>
                <w:iCs/>
                <w:sz w:val="20"/>
                <w:szCs w:val="20"/>
              </w:rPr>
              <w:t>Syfilis (treponemový test)</w:t>
            </w:r>
          </w:p>
        </w:tc>
        <w:tc>
          <w:tcPr>
            <w:tcW w:w="2126" w:type="dxa"/>
          </w:tcPr>
          <w:p w14:paraId="3BAB1268" w14:textId="5F59F31E" w:rsidR="00811380" w:rsidRPr="00633279" w:rsidRDefault="00811380" w:rsidP="0081138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42 000</w:t>
            </w:r>
          </w:p>
        </w:tc>
      </w:tr>
      <w:tr w:rsidR="00811380" w:rsidRPr="00633279" w14:paraId="51D87351" w14:textId="77777777" w:rsidTr="008304DE">
        <w:tc>
          <w:tcPr>
            <w:tcW w:w="5371" w:type="dxa"/>
            <w:vAlign w:val="center"/>
          </w:tcPr>
          <w:p w14:paraId="416B707A" w14:textId="2AFED9FA" w:rsidR="00811380" w:rsidRPr="00633279" w:rsidRDefault="00811380" w:rsidP="00811380">
            <w:pPr>
              <w:pStyle w:val="Standard"/>
              <w:spacing w:before="6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bCs/>
                <w:iCs/>
                <w:sz w:val="20"/>
                <w:szCs w:val="20"/>
              </w:rPr>
              <w:t>anti-HBc</w:t>
            </w:r>
            <w:r w:rsidR="002823AB" w:rsidRPr="00633279">
              <w:rPr>
                <w:rFonts w:ascii="Arial" w:hAnsi="Arial"/>
                <w:bCs/>
                <w:iCs/>
                <w:sz w:val="20"/>
                <w:szCs w:val="20"/>
              </w:rPr>
              <w:t xml:space="preserve"> – pouze první rok (testování stávajících dárců)</w:t>
            </w:r>
          </w:p>
        </w:tc>
        <w:tc>
          <w:tcPr>
            <w:tcW w:w="2126" w:type="dxa"/>
          </w:tcPr>
          <w:p w14:paraId="51C6C74B" w14:textId="5CC9859D" w:rsidR="00811380" w:rsidRPr="00633279" w:rsidRDefault="002823A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17 000</w:t>
            </w:r>
          </w:p>
        </w:tc>
      </w:tr>
      <w:tr w:rsidR="002823AB" w:rsidRPr="00633279" w14:paraId="1C4D91D0" w14:textId="77777777" w:rsidTr="008304DE">
        <w:tc>
          <w:tcPr>
            <w:tcW w:w="5371" w:type="dxa"/>
            <w:vAlign w:val="center"/>
          </w:tcPr>
          <w:p w14:paraId="06DA17E9" w14:textId="3A76ED64" w:rsidR="002823AB" w:rsidRPr="00633279" w:rsidRDefault="002823AB" w:rsidP="00811380">
            <w:pPr>
              <w:pStyle w:val="Standard"/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633279">
              <w:rPr>
                <w:rFonts w:ascii="Arial" w:hAnsi="Arial"/>
                <w:bCs/>
                <w:iCs/>
                <w:sz w:val="20"/>
                <w:szCs w:val="20"/>
              </w:rPr>
              <w:t>anti-HBc – další roky (testování nových dárců)</w:t>
            </w:r>
          </w:p>
        </w:tc>
        <w:tc>
          <w:tcPr>
            <w:tcW w:w="2126" w:type="dxa"/>
          </w:tcPr>
          <w:p w14:paraId="77D40841" w14:textId="3EE9BA13" w:rsidR="002823AB" w:rsidRPr="00633279" w:rsidRDefault="002823A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1 500</w:t>
            </w:r>
          </w:p>
        </w:tc>
      </w:tr>
    </w:tbl>
    <w:p w14:paraId="4DA153F5" w14:textId="6CFB7CC1" w:rsidR="007E39E9" w:rsidRPr="00633279" w:rsidRDefault="007E39E9" w:rsidP="007E39E9">
      <w:pPr>
        <w:tabs>
          <w:tab w:val="left" w:pos="2760"/>
        </w:tabs>
        <w:jc w:val="both"/>
        <w:rPr>
          <w:rFonts w:ascii="Arial" w:hAnsi="Arial"/>
          <w:sz w:val="20"/>
          <w:szCs w:val="20"/>
        </w:rPr>
      </w:pPr>
      <w:r w:rsidRPr="00633279">
        <w:rPr>
          <w:rFonts w:ascii="Arial" w:hAnsi="Arial"/>
          <w:snapToGrid w:val="0"/>
          <w:sz w:val="20"/>
          <w:szCs w:val="20"/>
        </w:rPr>
        <w:t>**</w:t>
      </w:r>
      <w:r w:rsidRPr="00633279">
        <w:rPr>
          <w:rFonts w:ascii="Arial" w:hAnsi="Arial"/>
          <w:sz w:val="20"/>
          <w:szCs w:val="20"/>
        </w:rPr>
        <w:t xml:space="preserve"> Uvedené počty vzorků jsou celkové za obě pracoviště (Ústí nad Labem a Chomutov) – požadavkem je umístění min. 1 analyzátoru na každé pracoviště. Objem vzorků obou pracovišť je srovnatelný. </w:t>
      </w:r>
    </w:p>
    <w:p w14:paraId="01E6977C" w14:textId="77777777" w:rsidR="009B267D" w:rsidRPr="00633279" w:rsidRDefault="009B267D" w:rsidP="009B267D">
      <w:pPr>
        <w:rPr>
          <w:rFonts w:ascii="Arial" w:hAnsi="Arial"/>
          <w:b/>
          <w:sz w:val="20"/>
          <w:szCs w:val="20"/>
        </w:rPr>
      </w:pPr>
    </w:p>
    <w:p w14:paraId="1613B026" w14:textId="77777777" w:rsidR="0046000D" w:rsidRPr="00633279" w:rsidRDefault="009A7531">
      <w:pPr>
        <w:suppressAutoHyphens w:val="0"/>
        <w:spacing w:after="200" w:line="276" w:lineRule="auto"/>
        <w:textAlignment w:val="auto"/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  <w:r w:rsidRPr="00633279"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  <w:t>Požadované minimální technické a uživatelské parametry a vlastnosti:</w:t>
      </w:r>
    </w:p>
    <w:tbl>
      <w:tblPr>
        <w:tblStyle w:val="Mkatabulky"/>
        <w:tblW w:w="8064" w:type="dxa"/>
        <w:tblInd w:w="720" w:type="dxa"/>
        <w:tblLook w:val="04A0" w:firstRow="1" w:lastRow="0" w:firstColumn="1" w:lastColumn="0" w:noHBand="0" w:noVBand="1"/>
      </w:tblPr>
      <w:tblGrid>
        <w:gridCol w:w="5622"/>
        <w:gridCol w:w="2442"/>
      </w:tblGrid>
      <w:tr w:rsidR="008B4C90" w:rsidRPr="00633279" w14:paraId="67B446BF" w14:textId="77777777" w:rsidTr="00431734">
        <w:tc>
          <w:tcPr>
            <w:tcW w:w="5622" w:type="dxa"/>
          </w:tcPr>
          <w:p w14:paraId="0DD983F0" w14:textId="77777777" w:rsidR="008B4C90" w:rsidRPr="00633279" w:rsidRDefault="008B4C90" w:rsidP="00B54E9E">
            <w:pPr>
              <w:pStyle w:val="Odstavecseseznamem"/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</w:tcPr>
          <w:p w14:paraId="1203E955" w14:textId="6CBB6CF8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633279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Ano/Ne</w:t>
            </w:r>
          </w:p>
        </w:tc>
      </w:tr>
      <w:tr w:rsidR="008B4C90" w:rsidRPr="00633279" w14:paraId="1A6D93F2" w14:textId="1DEF59E8" w:rsidTr="00431734">
        <w:tc>
          <w:tcPr>
            <w:tcW w:w="5622" w:type="dxa"/>
          </w:tcPr>
          <w:p w14:paraId="686F8C7D" w14:textId="23512272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Analyzátory musí umožňovat průběžné vkládání vzorků a zpracování v režimu „statim“</w:t>
            </w:r>
          </w:p>
        </w:tc>
        <w:tc>
          <w:tcPr>
            <w:tcW w:w="2442" w:type="dxa"/>
          </w:tcPr>
          <w:p w14:paraId="0258DDFF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12783B81" w14:textId="26492268" w:rsidTr="00431734">
        <w:tc>
          <w:tcPr>
            <w:tcW w:w="5622" w:type="dxa"/>
          </w:tcPr>
          <w:p w14:paraId="78D15A0A" w14:textId="77777777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 xml:space="preserve">Všechny požadované testy musí být proveditelné na jednom analyzátoru (z jednoho primárního vzorku) a musí umožňovat analýzu vzorků z plazmy. </w:t>
            </w:r>
          </w:p>
        </w:tc>
        <w:tc>
          <w:tcPr>
            <w:tcW w:w="2442" w:type="dxa"/>
          </w:tcPr>
          <w:p w14:paraId="5EB9AE0C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012407CC" w14:textId="1456F108" w:rsidTr="00431734">
        <w:tc>
          <w:tcPr>
            <w:tcW w:w="5622" w:type="dxa"/>
          </w:tcPr>
          <w:p w14:paraId="298F7FBC" w14:textId="18E0F91E" w:rsidR="008B4C90" w:rsidRPr="00633279" w:rsidRDefault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Obousměrná komunikace s LIS (TIS). Poplatk</w:t>
            </w:r>
            <w:r w:rsidR="00431734" w:rsidRPr="00633279">
              <w:rPr>
                <w:rFonts w:ascii="Arial" w:hAnsi="Arial" w:cs="Arial"/>
                <w:sz w:val="20"/>
                <w:szCs w:val="20"/>
              </w:rPr>
              <w:t>y (pro každý o.z.)</w:t>
            </w:r>
            <w:r w:rsidRPr="00633279">
              <w:rPr>
                <w:rFonts w:ascii="Arial" w:hAnsi="Arial" w:cs="Arial"/>
                <w:sz w:val="20"/>
                <w:szCs w:val="20"/>
              </w:rPr>
              <w:t xml:space="preserve"> za připojení j</w:t>
            </w:r>
            <w:r w:rsidR="00D829DE">
              <w:rPr>
                <w:rFonts w:ascii="Arial" w:hAnsi="Arial" w:cs="Arial"/>
                <w:sz w:val="20"/>
                <w:szCs w:val="20"/>
              </w:rPr>
              <w:t xml:space="preserve">sou </w:t>
            </w:r>
            <w:r w:rsidRPr="00633279">
              <w:rPr>
                <w:rFonts w:ascii="Arial" w:hAnsi="Arial" w:cs="Arial"/>
                <w:sz w:val="20"/>
                <w:szCs w:val="20"/>
              </w:rPr>
              <w:t>součástí nabídk</w:t>
            </w:r>
            <w:r w:rsidR="00D829DE">
              <w:rPr>
                <w:rFonts w:ascii="Arial" w:hAnsi="Arial" w:cs="Arial"/>
                <w:sz w:val="20"/>
                <w:szCs w:val="20"/>
              </w:rPr>
              <w:t>ové ceny</w:t>
            </w:r>
            <w:r w:rsidRPr="00633279">
              <w:rPr>
                <w:rFonts w:ascii="Arial" w:hAnsi="Arial" w:cs="Arial"/>
                <w:sz w:val="20"/>
                <w:szCs w:val="20"/>
              </w:rPr>
              <w:t>.</w:t>
            </w:r>
            <w:r w:rsidR="008054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54B5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>Důležité je, aby každý analyzátor byl napojen na informační systém pracoviště, kde bude umístěn (v MNUL</w:t>
            </w:r>
            <w:r w:rsidR="008054B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- IS Amadeus, </w:t>
            </w:r>
            <w:r w:rsidR="008054B5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>v</w:t>
            </w:r>
            <w:r w:rsidR="008054B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  <w:r w:rsidR="008054B5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>Chomutově</w:t>
            </w:r>
            <w:r w:rsidR="008054B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-</w:t>
            </w:r>
            <w:r w:rsidR="008054B5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Transfuzní program Hemo a OpenLIMS).</w:t>
            </w:r>
          </w:p>
        </w:tc>
        <w:tc>
          <w:tcPr>
            <w:tcW w:w="2442" w:type="dxa"/>
          </w:tcPr>
          <w:p w14:paraId="66697E3F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1D4E9F03" w14:textId="781D1585" w:rsidTr="00431734">
        <w:tc>
          <w:tcPr>
            <w:tcW w:w="5622" w:type="dxa"/>
          </w:tcPr>
          <w:p w14:paraId="5E4BCEEF" w14:textId="718981D9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 xml:space="preserve">Práce s čárovými kódy vzorků i reagencií včetně kontrol a kalibrátorů (údaje se nezadávají manuálně, vše pouze přes čárové kódy). Součástí dodávky je čtečka </w:t>
            </w:r>
            <w:r w:rsidRPr="00633279">
              <w:rPr>
                <w:rFonts w:ascii="Arial" w:hAnsi="Arial" w:cs="Arial"/>
                <w:sz w:val="20"/>
                <w:szCs w:val="20"/>
              </w:rPr>
              <w:lastRenderedPageBreak/>
              <w:t>čárových kódů.</w:t>
            </w:r>
            <w:r w:rsidR="001C2725" w:rsidRPr="00633279">
              <w:rPr>
                <w:rFonts w:ascii="Arial" w:hAnsi="Arial" w:cs="Arial"/>
                <w:sz w:val="20"/>
                <w:szCs w:val="20"/>
              </w:rPr>
              <w:t xml:space="preserve"> V případě, že kontroly/kalibrátory nejsou značeny čárovým kódem, musí být nezaměnitelnost zajištěna jiným způsobem.</w:t>
            </w:r>
          </w:p>
        </w:tc>
        <w:tc>
          <w:tcPr>
            <w:tcW w:w="2442" w:type="dxa"/>
          </w:tcPr>
          <w:p w14:paraId="0ECF78F8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15686649" w14:textId="48607A11" w:rsidTr="00431734">
        <w:tc>
          <w:tcPr>
            <w:tcW w:w="5622" w:type="dxa"/>
          </w:tcPr>
          <w:p w14:paraId="6C370284" w14:textId="7E817535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 xml:space="preserve">Výkon každého analyzátoru minimálně 250 imunochemických stanovení </w:t>
            </w:r>
            <w:r w:rsidR="001C2725" w:rsidRPr="00633279">
              <w:rPr>
                <w:rFonts w:ascii="Arial" w:hAnsi="Arial" w:cs="Arial"/>
                <w:sz w:val="20"/>
                <w:szCs w:val="20"/>
              </w:rPr>
              <w:t xml:space="preserve">(Myšleno 250 vyšetřených vzorků při max. 5 současně prováděných testech) </w:t>
            </w:r>
            <w:r w:rsidRPr="00633279">
              <w:rPr>
                <w:rFonts w:ascii="Arial" w:hAnsi="Arial" w:cs="Arial"/>
                <w:sz w:val="20"/>
                <w:szCs w:val="20"/>
              </w:rPr>
              <w:t>za pracovní směnu (8 hodin).</w:t>
            </w:r>
          </w:p>
        </w:tc>
        <w:tc>
          <w:tcPr>
            <w:tcW w:w="2442" w:type="dxa"/>
          </w:tcPr>
          <w:p w14:paraId="3837ABF4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728346D2" w14:textId="4ACC77F2" w:rsidTr="00431734">
        <w:tc>
          <w:tcPr>
            <w:tcW w:w="5622" w:type="dxa"/>
          </w:tcPr>
          <w:p w14:paraId="6128BA63" w14:textId="77777777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Kalibrace diagnostik na šarži u všech metod, bez nutnosti kalibrovat každou reagenční soupravu samostatně.</w:t>
            </w:r>
          </w:p>
        </w:tc>
        <w:tc>
          <w:tcPr>
            <w:tcW w:w="2442" w:type="dxa"/>
          </w:tcPr>
          <w:p w14:paraId="2122639F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2198045E" w14:textId="3F548309" w:rsidTr="00431734">
        <w:tc>
          <w:tcPr>
            <w:tcW w:w="5622" w:type="dxa"/>
          </w:tcPr>
          <w:p w14:paraId="3140E4D8" w14:textId="77777777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Minimalizace manuálních vstupů při práci s reagenčními soupravami a omezení odparu reagencií na palubě (požadavek se netýká jednotlivých pozitivních a negativních kontrol, lahví s promývacím roztokem ani spotřebního materiálu).</w:t>
            </w:r>
          </w:p>
        </w:tc>
        <w:tc>
          <w:tcPr>
            <w:tcW w:w="2442" w:type="dxa"/>
          </w:tcPr>
          <w:p w14:paraId="2833B38F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8B4C90" w:rsidRPr="00633279" w14:paraId="0815B17F" w14:textId="627C2CC5" w:rsidTr="00431734">
        <w:tc>
          <w:tcPr>
            <w:tcW w:w="5622" w:type="dxa"/>
          </w:tcPr>
          <w:p w14:paraId="5FEC5214" w14:textId="34E01F19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Rychlost vydání prvního výsledku od vložení vzorku do analyzátoru</w:t>
            </w:r>
            <w:r w:rsidR="001C2725" w:rsidRPr="00633279">
              <w:rPr>
                <w:rFonts w:ascii="Arial" w:hAnsi="Arial" w:cs="Arial"/>
                <w:sz w:val="20"/>
                <w:szCs w:val="20"/>
              </w:rPr>
              <w:t>: Při stanovení 4 základních parametrů (vyš. HIV, HCV, HBsAg, syfilis) max. do 30 min., s anti-HBc navíc pak max. do 35 minut.</w:t>
            </w:r>
          </w:p>
        </w:tc>
        <w:tc>
          <w:tcPr>
            <w:tcW w:w="2442" w:type="dxa"/>
          </w:tcPr>
          <w:p w14:paraId="50CE67C5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8B4C90" w:rsidRPr="00633279" w14:paraId="1530F715" w14:textId="196FC11E" w:rsidTr="00431734">
        <w:tc>
          <w:tcPr>
            <w:tcW w:w="5622" w:type="dxa"/>
          </w:tcPr>
          <w:p w14:paraId="4346FBA6" w14:textId="6A1994C6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33279">
              <w:rPr>
                <w:rFonts w:ascii="Arial" w:hAnsi="Arial" w:cs="Arial"/>
                <w:sz w:val="20"/>
                <w:szCs w:val="20"/>
                <w:lang w:eastAsia="cs-CZ"/>
              </w:rPr>
              <w:t xml:space="preserve">Reagencie k přímému vložení do analyzátoru bez dalších přípravných kroků (ready to use). </w:t>
            </w:r>
            <w:r w:rsidR="002A44BA" w:rsidRPr="00633279">
              <w:rPr>
                <w:rFonts w:ascii="Arial" w:hAnsi="Arial" w:cs="Arial"/>
                <w:sz w:val="20"/>
                <w:szCs w:val="20"/>
                <w:lang w:eastAsia="cs-CZ"/>
              </w:rPr>
              <w:t>Jediný akceptovatelný krok je odšroubování víčka.</w:t>
            </w:r>
            <w:r w:rsidR="005E4263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5E4263" w:rsidRPr="0012159A">
              <w:rPr>
                <w:rFonts w:ascii="Arial" w:hAnsi="Arial" w:cs="Arial"/>
                <w:sz w:val="20"/>
                <w:szCs w:val="20"/>
                <w:lang w:eastAsia="cs-CZ"/>
              </w:rPr>
              <w:t>Reagencií je myšleno činidlo, nebo činidla přímo podílející se na</w:t>
            </w:r>
            <w:r w:rsidR="005E4263">
              <w:rPr>
                <w:rFonts w:ascii="Arial" w:hAnsi="Arial" w:cs="Arial"/>
                <w:sz w:val="20"/>
                <w:szCs w:val="20"/>
                <w:lang w:eastAsia="cs-CZ"/>
              </w:rPr>
              <w:t xml:space="preserve"> stanovení. Nevztahuje se na ka</w:t>
            </w:r>
            <w:r w:rsidR="005E4263" w:rsidRPr="0012159A">
              <w:rPr>
                <w:rFonts w:ascii="Arial" w:hAnsi="Arial" w:cs="Arial"/>
                <w:sz w:val="20"/>
                <w:szCs w:val="20"/>
                <w:lang w:eastAsia="cs-CZ"/>
              </w:rPr>
              <w:t>librátory a kontroly.</w:t>
            </w:r>
          </w:p>
        </w:tc>
        <w:tc>
          <w:tcPr>
            <w:tcW w:w="2442" w:type="dxa"/>
          </w:tcPr>
          <w:p w14:paraId="6F50597D" w14:textId="77777777" w:rsidR="008B4C90" w:rsidRPr="00633279" w:rsidRDefault="008B4C90" w:rsidP="008B4C90">
            <w:pPr>
              <w:jc w:val="center"/>
              <w:rPr>
                <w:rFonts w:ascii="Arial" w:hAnsi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8B4C90" w:rsidRPr="00633279" w14:paraId="601FDB96" w14:textId="7885F616" w:rsidTr="00431734">
        <w:tc>
          <w:tcPr>
            <w:tcW w:w="5622" w:type="dxa"/>
          </w:tcPr>
          <w:p w14:paraId="1283AA10" w14:textId="77777777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3279">
              <w:rPr>
                <w:rFonts w:ascii="Arial" w:hAnsi="Arial" w:cs="Arial"/>
                <w:bCs/>
                <w:iCs/>
                <w:sz w:val="20"/>
                <w:szCs w:val="20"/>
              </w:rPr>
              <w:t>Detekce sraženin, detekce bublin a nedostatečného objemu vzorku.</w:t>
            </w:r>
          </w:p>
        </w:tc>
        <w:tc>
          <w:tcPr>
            <w:tcW w:w="2442" w:type="dxa"/>
          </w:tcPr>
          <w:p w14:paraId="463E9690" w14:textId="77777777" w:rsidR="008B4C90" w:rsidRPr="00633279" w:rsidRDefault="008B4C90" w:rsidP="008B4C90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8B4C90" w:rsidRPr="00633279" w14:paraId="1B0D038A" w14:textId="6A22F3CB" w:rsidTr="00431734">
        <w:tc>
          <w:tcPr>
            <w:tcW w:w="5622" w:type="dxa"/>
          </w:tcPr>
          <w:p w14:paraId="4137F70A" w14:textId="77777777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bookmarkStart w:id="1" w:name="_GoBack"/>
            <w:bookmarkEnd w:id="1"/>
            <w:r w:rsidRPr="00633279">
              <w:rPr>
                <w:rFonts w:ascii="Arial" w:hAnsi="Arial" w:cs="Arial"/>
                <w:bCs/>
                <w:iCs/>
                <w:sz w:val="20"/>
                <w:szCs w:val="20"/>
              </w:rPr>
              <w:t>Možnost automatického opakování reaktivního výsledku dvěma novými testy.</w:t>
            </w:r>
          </w:p>
        </w:tc>
        <w:tc>
          <w:tcPr>
            <w:tcW w:w="2442" w:type="dxa"/>
          </w:tcPr>
          <w:p w14:paraId="59EF98A6" w14:textId="77777777" w:rsidR="008B4C90" w:rsidRPr="00633279" w:rsidRDefault="008B4C90" w:rsidP="008B4C90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8B4C90" w:rsidRPr="00633279" w14:paraId="04547998" w14:textId="57BFF357" w:rsidTr="00431734">
        <w:tc>
          <w:tcPr>
            <w:tcW w:w="5622" w:type="dxa"/>
          </w:tcPr>
          <w:p w14:paraId="5D4D94DB" w14:textId="77777777" w:rsidR="008B4C90" w:rsidRPr="00633279" w:rsidRDefault="008B4C90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3279">
              <w:rPr>
                <w:rFonts w:ascii="Arial" w:hAnsi="Arial" w:cs="Arial"/>
                <w:bCs/>
                <w:iCs/>
                <w:sz w:val="20"/>
                <w:szCs w:val="20"/>
              </w:rPr>
              <w:t>Možnost skladování reagencií v analyzátoru mezi vyšetřovacími cykly - temperovaný prostor pro skladování reagencií přímo na palubě analyzátoru.</w:t>
            </w:r>
          </w:p>
        </w:tc>
        <w:tc>
          <w:tcPr>
            <w:tcW w:w="2442" w:type="dxa"/>
          </w:tcPr>
          <w:p w14:paraId="79E7450A" w14:textId="77777777" w:rsidR="008B4C90" w:rsidRPr="00633279" w:rsidRDefault="008B4C90" w:rsidP="008B4C90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8B4C90" w:rsidRPr="00633279" w14:paraId="42E09317" w14:textId="38509B2D" w:rsidTr="00431734">
        <w:tc>
          <w:tcPr>
            <w:tcW w:w="5622" w:type="dxa"/>
          </w:tcPr>
          <w:p w14:paraId="37C95C24" w14:textId="151C31A0" w:rsidR="008B4C90" w:rsidRPr="00633279" w:rsidRDefault="00655EEE" w:rsidP="008B4C90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3279">
              <w:rPr>
                <w:rFonts w:ascii="Arial" w:hAnsi="Arial" w:cs="Arial"/>
                <w:bCs/>
                <w:iCs/>
                <w:sz w:val="20"/>
                <w:szCs w:val="20"/>
              </w:rPr>
              <w:t>Účastník</w:t>
            </w:r>
            <w:r w:rsidR="008B4C90" w:rsidRPr="0063327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musí uvést diagnostickou specificitu testů u dárců krve dle údajů uvedených v návodech k použití. </w:t>
            </w:r>
          </w:p>
        </w:tc>
        <w:tc>
          <w:tcPr>
            <w:tcW w:w="2442" w:type="dxa"/>
          </w:tcPr>
          <w:p w14:paraId="075DE1A5" w14:textId="77777777" w:rsidR="008B4C90" w:rsidRPr="00633279" w:rsidRDefault="008B4C90" w:rsidP="008B4C90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8B4C90" w:rsidRPr="00633279" w14:paraId="5747B527" w14:textId="37A637AE" w:rsidTr="00431734">
        <w:tc>
          <w:tcPr>
            <w:tcW w:w="5622" w:type="dxa"/>
          </w:tcPr>
          <w:p w14:paraId="3C77B42B" w14:textId="79540C99" w:rsidR="008B4C90" w:rsidRPr="00633279" w:rsidRDefault="008B4C90" w:rsidP="0026454A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3279">
              <w:rPr>
                <w:rFonts w:ascii="Arial" w:hAnsi="Arial" w:cs="Arial"/>
                <w:bCs/>
                <w:iCs/>
                <w:sz w:val="20"/>
                <w:szCs w:val="20"/>
              </w:rPr>
              <w:t>Komunikace s LIS (TIS) a zajištění prostřednictvím odboru IT zadavatele připojení přístroje k LIS (TIS) obou pracovišť.</w:t>
            </w:r>
            <w:r w:rsidR="0026454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6454A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>Důležité je, aby každý analyzátor byl napojen na informační systém pracoviště, kde bude umístěn (v MNUL</w:t>
            </w:r>
            <w:r w:rsidR="0026454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-</w:t>
            </w:r>
            <w:r w:rsidR="008054B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IS Amadeus, </w:t>
            </w:r>
            <w:r w:rsidR="0026454A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>v</w:t>
            </w:r>
            <w:r w:rsidR="0026454A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  <w:r w:rsidR="0026454A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>Chomutově</w:t>
            </w:r>
            <w:r w:rsidR="0026454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-</w:t>
            </w:r>
            <w:r w:rsidR="0026454A" w:rsidRPr="0026454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Transfuzní program Hemo a OpenLIMS).</w:t>
            </w:r>
          </w:p>
        </w:tc>
        <w:tc>
          <w:tcPr>
            <w:tcW w:w="2442" w:type="dxa"/>
          </w:tcPr>
          <w:p w14:paraId="7EB2E5A6" w14:textId="77777777" w:rsidR="008B4C90" w:rsidRPr="00633279" w:rsidRDefault="008B4C90" w:rsidP="008B4C90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8B4C90" w:rsidRPr="00633279" w14:paraId="4876237D" w14:textId="77777777" w:rsidTr="00431734">
        <w:trPr>
          <w:trHeight w:val="163"/>
        </w:trPr>
        <w:tc>
          <w:tcPr>
            <w:tcW w:w="5622" w:type="dxa"/>
          </w:tcPr>
          <w:p w14:paraId="21D52DF2" w14:textId="485540AE" w:rsidR="008B4C90" w:rsidRPr="00633279" w:rsidRDefault="00431734" w:rsidP="00431734">
            <w:pPr>
              <w:autoSpaceDN/>
              <w:contextualSpacing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33279"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Obecné požadavky:</w:t>
            </w:r>
          </w:p>
        </w:tc>
        <w:tc>
          <w:tcPr>
            <w:tcW w:w="2442" w:type="dxa"/>
          </w:tcPr>
          <w:p w14:paraId="59CDBF17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33F77EB2" w14:textId="77777777" w:rsidTr="00431734">
        <w:tc>
          <w:tcPr>
            <w:tcW w:w="5622" w:type="dxa"/>
          </w:tcPr>
          <w:p w14:paraId="6B63374E" w14:textId="29B2A480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 xml:space="preserve">Diagnostika i přístroje musí splňovat požadavky pro in vitro diagnostika (IVDR) a musí být označeny značkou shody CE. </w:t>
            </w:r>
          </w:p>
        </w:tc>
        <w:tc>
          <w:tcPr>
            <w:tcW w:w="2442" w:type="dxa"/>
          </w:tcPr>
          <w:p w14:paraId="47AD221E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42BF3BCB" w14:textId="77777777" w:rsidTr="00431734">
        <w:tc>
          <w:tcPr>
            <w:tcW w:w="5622" w:type="dxa"/>
          </w:tcPr>
          <w:p w14:paraId="38C43CFE" w14:textId="455D82B7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Diagnostické soupravy musí být určeny k laboratornímu vyšetření vybraných krví přenosných infekcí, prostřednictvím sérologických testů.</w:t>
            </w:r>
          </w:p>
        </w:tc>
        <w:tc>
          <w:tcPr>
            <w:tcW w:w="2442" w:type="dxa"/>
          </w:tcPr>
          <w:p w14:paraId="7978FAE0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3DF2B0A6" w14:textId="77777777" w:rsidTr="00431734">
        <w:tc>
          <w:tcPr>
            <w:tcW w:w="5622" w:type="dxa"/>
          </w:tcPr>
          <w:p w14:paraId="10E3DD2F" w14:textId="2F6C7382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Diagnostické soupravy pro stanovení infekčních markerů musí být přímo určeny pro screening dárců krve, dárců tkání a dárců orgánů.</w:t>
            </w:r>
          </w:p>
        </w:tc>
        <w:tc>
          <w:tcPr>
            <w:tcW w:w="2442" w:type="dxa"/>
          </w:tcPr>
          <w:p w14:paraId="17BAFDA0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3588398B" w14:textId="77777777" w:rsidTr="00431734">
        <w:tc>
          <w:tcPr>
            <w:tcW w:w="5622" w:type="dxa"/>
          </w:tcPr>
          <w:p w14:paraId="4A860256" w14:textId="7990B6F0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Diagnostické soupravy a technologie musí splňovat podmínky správné výrobní praxe (SVP) v transfuzní službě a podmínky použití v České republice v souvislosti s poskytováním zdravotní péče, zejména ustanovení zákona č. 375/2022 Sb.</w:t>
            </w:r>
            <w:r w:rsidR="00655EEE" w:rsidRPr="00633279">
              <w:rPr>
                <w:rFonts w:ascii="Arial" w:hAnsi="Arial" w:cs="Arial"/>
                <w:sz w:val="20"/>
                <w:szCs w:val="20"/>
              </w:rPr>
              <w:t>,</w:t>
            </w:r>
            <w:r w:rsidRPr="00633279">
              <w:rPr>
                <w:rFonts w:ascii="Arial" w:hAnsi="Arial" w:cs="Arial"/>
                <w:sz w:val="20"/>
                <w:szCs w:val="20"/>
              </w:rPr>
              <w:t xml:space="preserve"> o zdravotnických prostředcích. Tyto požadavky musí splňovat v době dodávky.</w:t>
            </w:r>
          </w:p>
        </w:tc>
        <w:tc>
          <w:tcPr>
            <w:tcW w:w="2442" w:type="dxa"/>
          </w:tcPr>
          <w:p w14:paraId="5DD4E00D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60D46B90" w14:textId="77777777" w:rsidTr="00431734">
        <w:tc>
          <w:tcPr>
            <w:tcW w:w="5622" w:type="dxa"/>
          </w:tcPr>
          <w:p w14:paraId="498AA30F" w14:textId="68CA83EE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 xml:space="preserve">Diagnostické soupravy a technologie musí být akceptovány zpracovatelem plazmy. (Zpracovatelem plazmy pro obě pracoviště je společnost Takeda.) </w:t>
            </w:r>
            <w:r w:rsidR="002B487D">
              <w:rPr>
                <w:rFonts w:ascii="Arial" w:hAnsi="Arial" w:cs="Arial"/>
                <w:sz w:val="20"/>
                <w:szCs w:val="20"/>
              </w:rPr>
              <w:t>Akceptované jsou pouze produkty a technologie, které má společnost Takeda ve svém Plasma Master File.</w:t>
            </w:r>
          </w:p>
        </w:tc>
        <w:tc>
          <w:tcPr>
            <w:tcW w:w="2442" w:type="dxa"/>
          </w:tcPr>
          <w:p w14:paraId="19E3843E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69C5F5DE" w14:textId="77777777" w:rsidTr="00431734">
        <w:tc>
          <w:tcPr>
            <w:tcW w:w="5622" w:type="dxa"/>
          </w:tcPr>
          <w:p w14:paraId="502F6B0C" w14:textId="6F283AAD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Instalace technologie musí zajištěna na náklady dodavatele podle zásad SVP, dokumentovaná kvalifikace se musí provádět dle VYR-32.</w:t>
            </w:r>
          </w:p>
        </w:tc>
        <w:tc>
          <w:tcPr>
            <w:tcW w:w="2442" w:type="dxa"/>
          </w:tcPr>
          <w:p w14:paraId="7F72A90C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04B34DC9" w14:textId="77777777" w:rsidTr="00431734">
        <w:tc>
          <w:tcPr>
            <w:tcW w:w="5622" w:type="dxa"/>
          </w:tcPr>
          <w:p w14:paraId="6A763643" w14:textId="755FF349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Musí umožňovat vzdálenou správu analyzátorů se servisní podporou dle pravidel zadavatele (viz bod níže - Obecné požadavky na provedení a kvalitu ICT)</w:t>
            </w:r>
          </w:p>
        </w:tc>
        <w:tc>
          <w:tcPr>
            <w:tcW w:w="2442" w:type="dxa"/>
          </w:tcPr>
          <w:p w14:paraId="6DD312DF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493C5B5C" w14:textId="77777777" w:rsidTr="00431734">
        <w:tc>
          <w:tcPr>
            <w:tcW w:w="5622" w:type="dxa"/>
          </w:tcPr>
          <w:p w14:paraId="6DBBBEAE" w14:textId="5F1D5810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Zajištění servisního zásahu do 24 hodin od nahlášení závady, dostupnost servisní podpory v pracovních dnech 7.00-1</w:t>
            </w:r>
            <w:r w:rsidR="00A219EC" w:rsidRPr="00633279">
              <w:rPr>
                <w:rFonts w:ascii="Arial" w:hAnsi="Arial" w:cs="Arial"/>
                <w:sz w:val="20"/>
                <w:szCs w:val="20"/>
              </w:rPr>
              <w:t>7</w:t>
            </w:r>
            <w:r w:rsidRPr="00633279">
              <w:rPr>
                <w:rFonts w:ascii="Arial" w:hAnsi="Arial" w:cs="Arial"/>
                <w:sz w:val="20"/>
                <w:szCs w:val="20"/>
              </w:rPr>
              <w:t>.00 hod.</w:t>
            </w:r>
          </w:p>
        </w:tc>
        <w:tc>
          <w:tcPr>
            <w:tcW w:w="2442" w:type="dxa"/>
          </w:tcPr>
          <w:p w14:paraId="5986EB5E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13F83CC9" w14:textId="77777777" w:rsidTr="00431734">
        <w:tc>
          <w:tcPr>
            <w:tcW w:w="5622" w:type="dxa"/>
          </w:tcPr>
          <w:p w14:paraId="2B89BA48" w14:textId="480A3610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Všechny dodané technologie musí umožnit identifikaci primárních zkumavek čárovými kódy.</w:t>
            </w:r>
          </w:p>
        </w:tc>
        <w:tc>
          <w:tcPr>
            <w:tcW w:w="2442" w:type="dxa"/>
          </w:tcPr>
          <w:p w14:paraId="309ADDCC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3A072806" w14:textId="77777777" w:rsidTr="00431734">
        <w:tc>
          <w:tcPr>
            <w:tcW w:w="5622" w:type="dxa"/>
          </w:tcPr>
          <w:p w14:paraId="3540949B" w14:textId="05664EE3" w:rsidR="008B4C90" w:rsidRPr="00633279" w:rsidRDefault="00D74BED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Musí umožnovat</w:t>
            </w:r>
            <w:r w:rsidR="008B4C90" w:rsidRPr="00633279">
              <w:rPr>
                <w:rFonts w:ascii="Arial" w:hAnsi="Arial" w:cs="Arial"/>
                <w:sz w:val="20"/>
                <w:szCs w:val="20"/>
              </w:rPr>
              <w:t xml:space="preserve"> elektronick</w:t>
            </w:r>
            <w:r w:rsidRPr="00633279">
              <w:rPr>
                <w:rFonts w:ascii="Arial" w:hAnsi="Arial" w:cs="Arial"/>
                <w:sz w:val="20"/>
                <w:szCs w:val="20"/>
              </w:rPr>
              <w:t>ou</w:t>
            </w:r>
            <w:r w:rsidR="008B4C90" w:rsidRPr="00633279">
              <w:rPr>
                <w:rFonts w:ascii="Arial" w:hAnsi="Arial" w:cs="Arial"/>
                <w:sz w:val="20"/>
                <w:szCs w:val="20"/>
              </w:rPr>
              <w:t xml:space="preserve"> archivac</w:t>
            </w:r>
            <w:r w:rsidRPr="00633279">
              <w:rPr>
                <w:rFonts w:ascii="Arial" w:hAnsi="Arial" w:cs="Arial"/>
                <w:sz w:val="20"/>
                <w:szCs w:val="20"/>
              </w:rPr>
              <w:t>i</w:t>
            </w:r>
            <w:r w:rsidR="008B4C90" w:rsidRPr="00633279">
              <w:rPr>
                <w:rFonts w:ascii="Arial" w:hAnsi="Arial" w:cs="Arial"/>
                <w:sz w:val="20"/>
                <w:szCs w:val="20"/>
              </w:rPr>
              <w:t xml:space="preserve"> dat dle požadavků SÚKL – VYR32 jako vlastní funkcionalita (návaznost na šarži použité reagencie) včetně data a času měření.</w:t>
            </w:r>
          </w:p>
        </w:tc>
        <w:tc>
          <w:tcPr>
            <w:tcW w:w="2442" w:type="dxa"/>
          </w:tcPr>
          <w:p w14:paraId="4B075D91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432B74EE" w14:textId="77777777" w:rsidTr="00431734">
        <w:tc>
          <w:tcPr>
            <w:tcW w:w="5622" w:type="dxa"/>
          </w:tcPr>
          <w:p w14:paraId="3F973151" w14:textId="17AF988C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lastRenderedPageBreak/>
              <w:t>Musí umožňovat on-line aktualizace aplikačních protokolů, informací o reagenciích, roztocích atd.</w:t>
            </w:r>
          </w:p>
        </w:tc>
        <w:tc>
          <w:tcPr>
            <w:tcW w:w="2442" w:type="dxa"/>
          </w:tcPr>
          <w:p w14:paraId="51BADDE9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5CAA1CFB" w14:textId="77777777" w:rsidTr="00431734">
        <w:tc>
          <w:tcPr>
            <w:tcW w:w="5622" w:type="dxa"/>
          </w:tcPr>
          <w:p w14:paraId="75319E42" w14:textId="467C008F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Musí umožňovat ukládání informací o použitých šaržích reagencií a jejich exspiraci a zobrazení informace o zbývajícím objemu reagencií/zbývajícím počtu testů.</w:t>
            </w:r>
          </w:p>
        </w:tc>
        <w:tc>
          <w:tcPr>
            <w:tcW w:w="2442" w:type="dxa"/>
          </w:tcPr>
          <w:p w14:paraId="1A37F445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7B3E3B06" w14:textId="77777777" w:rsidTr="00431734">
        <w:tc>
          <w:tcPr>
            <w:tcW w:w="5622" w:type="dxa"/>
          </w:tcPr>
          <w:p w14:paraId="5FBC4AD3" w14:textId="1E2E55A7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 xml:space="preserve">Analyzátory musí být nové (nerepasované). </w:t>
            </w:r>
          </w:p>
        </w:tc>
        <w:tc>
          <w:tcPr>
            <w:tcW w:w="2442" w:type="dxa"/>
          </w:tcPr>
          <w:p w14:paraId="4E73A327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049CB278" w14:textId="77777777" w:rsidTr="00431734">
        <w:tc>
          <w:tcPr>
            <w:tcW w:w="5622" w:type="dxa"/>
          </w:tcPr>
          <w:p w14:paraId="1D6B4BF2" w14:textId="5917AFA3" w:rsidR="008B4C90" w:rsidRPr="00633279" w:rsidRDefault="008B4C90" w:rsidP="00201B53">
            <w:pPr>
              <w:autoSpaceDN/>
              <w:contextualSpacing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Součástí dodávky analyzátorů je také</w:t>
            </w:r>
            <w:r w:rsidR="00201B53" w:rsidRPr="00633279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2442" w:type="dxa"/>
          </w:tcPr>
          <w:p w14:paraId="4B2F515E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3B55E1E4" w14:textId="77777777" w:rsidTr="00431734">
        <w:tc>
          <w:tcPr>
            <w:tcW w:w="5622" w:type="dxa"/>
          </w:tcPr>
          <w:p w14:paraId="0A7766DC" w14:textId="179F6B28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přiměřeně kapacitní úpravna vody, včetně její instalace v případě, že není pro provoz analyzátorů použitelná voda získaná reverzní osmózou</w:t>
            </w:r>
            <w:r w:rsidR="00D74BED" w:rsidRPr="00633279">
              <w:rPr>
                <w:rFonts w:ascii="Arial" w:hAnsi="Arial" w:cs="Arial"/>
                <w:sz w:val="20"/>
                <w:szCs w:val="20"/>
              </w:rPr>
              <w:t xml:space="preserve"> (v případě potřeby)</w:t>
            </w:r>
            <w:r w:rsidR="00123EF1" w:rsidRPr="00633279">
              <w:rPr>
                <w:rFonts w:ascii="Arial" w:hAnsi="Arial" w:cs="Arial"/>
                <w:sz w:val="20"/>
                <w:szCs w:val="20"/>
              </w:rPr>
              <w:t xml:space="preserve"> či je vyžadováno napojení na zdroj vody (vzhledem ke spotřebě)</w:t>
            </w:r>
            <w:r w:rsidRPr="0063327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42" w:type="dxa"/>
          </w:tcPr>
          <w:p w14:paraId="570D82BD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58FEB974" w14:textId="77777777" w:rsidTr="00431734">
        <w:tc>
          <w:tcPr>
            <w:tcW w:w="5622" w:type="dxa"/>
          </w:tcPr>
          <w:p w14:paraId="68C7AE42" w14:textId="08DCA139" w:rsidR="008B4C90" w:rsidRPr="00633279" w:rsidRDefault="007210A7" w:rsidP="00DB49F9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D</w:t>
            </w:r>
            <w:r w:rsidR="00F23CB1" w:rsidRPr="00633279">
              <w:rPr>
                <w:rFonts w:ascii="Arial" w:hAnsi="Arial" w:cs="Arial"/>
                <w:sz w:val="20"/>
                <w:szCs w:val="20"/>
              </w:rPr>
              <w:t>odávka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49F9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instalace</w:t>
            </w:r>
            <w:r w:rsidR="00F23CB1" w:rsidRPr="00633279">
              <w:rPr>
                <w:rFonts w:ascii="Arial" w:hAnsi="Arial" w:cs="Arial"/>
                <w:sz w:val="20"/>
                <w:szCs w:val="20"/>
              </w:rPr>
              <w:t xml:space="preserve"> záložního zdroje (UPS) tak, aby při výpadku el. proudu nedošlo k znehodnocení právě probíhající analýzy a ke ztrátě naměřených dat</w:t>
            </w:r>
          </w:p>
        </w:tc>
        <w:tc>
          <w:tcPr>
            <w:tcW w:w="2442" w:type="dxa"/>
          </w:tcPr>
          <w:p w14:paraId="6956E9F5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5E48238B" w14:textId="77777777" w:rsidTr="00431734">
        <w:tc>
          <w:tcPr>
            <w:tcW w:w="5622" w:type="dxa"/>
          </w:tcPr>
          <w:p w14:paraId="3F1D776D" w14:textId="2326826B" w:rsidR="008B4C90" w:rsidRPr="00633279" w:rsidRDefault="007210A7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T</w:t>
            </w:r>
            <w:r w:rsidR="008B4C90" w:rsidRPr="00633279">
              <w:rPr>
                <w:rFonts w:ascii="Arial" w:hAnsi="Arial" w:cs="Arial"/>
                <w:sz w:val="20"/>
                <w:szCs w:val="20"/>
              </w:rPr>
              <w:t>iskárna</w:t>
            </w:r>
            <w:r>
              <w:rPr>
                <w:rFonts w:ascii="Arial" w:hAnsi="Arial" w:cs="Arial"/>
                <w:sz w:val="20"/>
                <w:szCs w:val="20"/>
              </w:rPr>
              <w:t xml:space="preserve"> včetně její instalace</w:t>
            </w:r>
          </w:p>
        </w:tc>
        <w:tc>
          <w:tcPr>
            <w:tcW w:w="2442" w:type="dxa"/>
          </w:tcPr>
          <w:p w14:paraId="130BF4E1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428A5B54" w14:textId="77777777" w:rsidTr="00431734">
        <w:tc>
          <w:tcPr>
            <w:tcW w:w="5622" w:type="dxa"/>
          </w:tcPr>
          <w:p w14:paraId="108879F2" w14:textId="7E9A83D3" w:rsidR="008B4C90" w:rsidRPr="00633279" w:rsidRDefault="00655EEE" w:rsidP="00201B53">
            <w:pPr>
              <w:autoSpaceDN/>
              <w:contextualSpacing/>
              <w:rPr>
                <w:rFonts w:ascii="Arial" w:hAnsi="Arial"/>
                <w:sz w:val="20"/>
                <w:szCs w:val="20"/>
              </w:rPr>
            </w:pPr>
            <w:r w:rsidRPr="00633279">
              <w:rPr>
                <w:rFonts w:ascii="Arial" w:hAnsi="Arial"/>
                <w:sz w:val="20"/>
                <w:szCs w:val="20"/>
              </w:rPr>
              <w:t>Účastník</w:t>
            </w:r>
            <w:r w:rsidR="008B4C90" w:rsidRPr="00633279">
              <w:rPr>
                <w:rFonts w:ascii="Arial" w:hAnsi="Arial"/>
                <w:sz w:val="20"/>
                <w:szCs w:val="20"/>
              </w:rPr>
              <w:t xml:space="preserve"> musí v rámci dodávky přístrojového vybavení:</w:t>
            </w:r>
          </w:p>
        </w:tc>
        <w:tc>
          <w:tcPr>
            <w:tcW w:w="2442" w:type="dxa"/>
          </w:tcPr>
          <w:p w14:paraId="31F3074F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525ACCE4" w14:textId="77777777" w:rsidTr="00431734">
        <w:tc>
          <w:tcPr>
            <w:tcW w:w="5622" w:type="dxa"/>
          </w:tcPr>
          <w:p w14:paraId="50DE8E0A" w14:textId="5EC3ED6C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a)</w:t>
            </w:r>
            <w:r w:rsidRPr="00633279">
              <w:rPr>
                <w:rFonts w:ascii="Arial" w:hAnsi="Arial" w:cs="Arial"/>
                <w:sz w:val="20"/>
                <w:szCs w:val="20"/>
              </w:rPr>
              <w:tab/>
              <w:t>upravit, v případě potřeby, pracoviště na své náklady tak, aby svými parametry vyhovovalo požadavkům na instalaci a provoz nabízeného přístrojového vybavení – dodávka a instalace klimatizační jednotky, přívodu elektrické energie, a dalších potřebných technologií</w:t>
            </w:r>
            <w:r w:rsidR="00A228A8" w:rsidRPr="00633279">
              <w:rPr>
                <w:rFonts w:ascii="Arial" w:hAnsi="Arial" w:cs="Arial"/>
                <w:sz w:val="20"/>
                <w:szCs w:val="20"/>
              </w:rPr>
              <w:t xml:space="preserve"> na základě prohlídky míst plnění</w:t>
            </w:r>
          </w:p>
        </w:tc>
        <w:tc>
          <w:tcPr>
            <w:tcW w:w="2442" w:type="dxa"/>
          </w:tcPr>
          <w:p w14:paraId="7960385F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3A03E9EA" w14:textId="77777777" w:rsidTr="00431734">
        <w:tc>
          <w:tcPr>
            <w:tcW w:w="5622" w:type="dxa"/>
          </w:tcPr>
          <w:p w14:paraId="00733820" w14:textId="553A17F3" w:rsidR="008B4C90" w:rsidRPr="00633279" w:rsidRDefault="008B4C90" w:rsidP="00B54E9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>b)</w:t>
            </w:r>
            <w:r w:rsidRPr="00633279">
              <w:rPr>
                <w:rFonts w:ascii="Arial" w:hAnsi="Arial" w:cs="Arial"/>
                <w:sz w:val="20"/>
                <w:szCs w:val="20"/>
              </w:rPr>
              <w:tab/>
              <w:t>budou-li stavební úpravy nutné, předložit technický výkres návrhu úprav pracoviště včetně jejich podrobného popisu</w:t>
            </w:r>
            <w:r w:rsidR="00A228A8" w:rsidRPr="00633279">
              <w:rPr>
                <w:rFonts w:ascii="Arial" w:hAnsi="Arial" w:cs="Arial"/>
                <w:sz w:val="20"/>
                <w:szCs w:val="20"/>
              </w:rPr>
              <w:t xml:space="preserve"> - na základě prohlídky míst plnění</w:t>
            </w:r>
          </w:p>
        </w:tc>
        <w:tc>
          <w:tcPr>
            <w:tcW w:w="2442" w:type="dxa"/>
          </w:tcPr>
          <w:p w14:paraId="1C7D065E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B4C90" w:rsidRPr="00633279" w14:paraId="3FFD03DC" w14:textId="387D823A" w:rsidTr="00431734">
        <w:tc>
          <w:tcPr>
            <w:tcW w:w="5622" w:type="dxa"/>
          </w:tcPr>
          <w:p w14:paraId="71E10260" w14:textId="75BB59D1" w:rsidR="008B4C90" w:rsidRPr="00633279" w:rsidRDefault="008B4C90" w:rsidP="00431734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3279">
              <w:rPr>
                <w:rFonts w:ascii="Arial" w:hAnsi="Arial" w:cs="Arial"/>
                <w:sz w:val="20"/>
                <w:szCs w:val="20"/>
              </w:rPr>
              <w:t xml:space="preserve">Obecné požadavky na provedení a kvalitu ICT viz odkaz: </w:t>
            </w:r>
            <w:hyperlink r:id="rId8" w:history="1">
              <w:r w:rsidRPr="00633279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https://www.kzcr.eu/cz/kz/odbornici/informace-pro-projektanty</w:t>
              </w:r>
            </w:hyperlink>
          </w:p>
        </w:tc>
        <w:tc>
          <w:tcPr>
            <w:tcW w:w="2442" w:type="dxa"/>
          </w:tcPr>
          <w:p w14:paraId="621B716A" w14:textId="77777777" w:rsidR="008B4C90" w:rsidRPr="00633279" w:rsidRDefault="008B4C90" w:rsidP="008B4C90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0152305" w14:textId="77777777" w:rsidR="00E23DA4" w:rsidRPr="00633279" w:rsidRDefault="00E23DA4" w:rsidP="00431734">
      <w:pPr>
        <w:suppressAutoHyphens w:val="0"/>
        <w:spacing w:after="200" w:line="276" w:lineRule="auto"/>
        <w:jc w:val="both"/>
        <w:textAlignment w:val="auto"/>
        <w:rPr>
          <w:rFonts w:ascii="Arial" w:hAnsi="Arial"/>
          <w:b/>
          <w:bCs/>
          <w:sz w:val="20"/>
          <w:szCs w:val="20"/>
          <w:u w:val="single"/>
        </w:rPr>
      </w:pPr>
    </w:p>
    <w:sectPr w:rsidR="00E23DA4" w:rsidRPr="00633279" w:rsidSect="00343785">
      <w:headerReference w:type="default" r:id="rId9"/>
      <w:footerReference w:type="default" r:id="rId10"/>
      <w:pgSz w:w="11906" w:h="16838"/>
      <w:pgMar w:top="2836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5EF5D" w16cex:dateUtc="2024-02-13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3EE275" w16cid:durableId="297878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FCCDD" w14:textId="77777777" w:rsidR="002B0553" w:rsidRDefault="002B0553">
      <w:r>
        <w:separator/>
      </w:r>
    </w:p>
  </w:endnote>
  <w:endnote w:type="continuationSeparator" w:id="0">
    <w:p w14:paraId="64217FD1" w14:textId="77777777" w:rsidR="002B0553" w:rsidRDefault="002B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6101448"/>
      <w:docPartObj>
        <w:docPartGallery w:val="Page Numbers (Bottom of Page)"/>
        <w:docPartUnique/>
      </w:docPartObj>
    </w:sdtPr>
    <w:sdtEndPr/>
    <w:sdtContent>
      <w:p w14:paraId="2FE56595" w14:textId="6BA53EE5" w:rsidR="00431734" w:rsidRDefault="004317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44A">
          <w:rPr>
            <w:noProof/>
          </w:rPr>
          <w:t>4</w:t>
        </w:r>
        <w:r>
          <w:fldChar w:fldCharType="end"/>
        </w:r>
      </w:p>
    </w:sdtContent>
  </w:sdt>
  <w:p w14:paraId="4F523DCA" w14:textId="77777777" w:rsidR="00431734" w:rsidRDefault="004317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F0DFD" w14:textId="77777777" w:rsidR="002B0553" w:rsidRDefault="002B0553">
      <w:r>
        <w:rPr>
          <w:color w:val="000000"/>
        </w:rPr>
        <w:separator/>
      </w:r>
    </w:p>
  </w:footnote>
  <w:footnote w:type="continuationSeparator" w:id="0">
    <w:p w14:paraId="4060B82C" w14:textId="77777777" w:rsidR="002B0553" w:rsidRDefault="002B0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BA51C" w14:textId="5B3276E0" w:rsidR="00343785" w:rsidRDefault="00343785">
    <w:pPr>
      <w:pStyle w:val="Zhlav"/>
    </w:pPr>
    <w:r w:rsidRPr="00343785">
      <w:rPr>
        <w:rFonts w:ascii="Times New Roman" w:eastAsia="Times New Roman" w:hAnsi="Times New Roman" w:cs="Times New Roman"/>
        <w:noProof/>
        <w:color w:val="FF0000"/>
        <w:kern w:val="0"/>
        <w:lang w:eastAsia="cs-CZ" w:bidi="ar-SA"/>
      </w:rPr>
      <w:drawing>
        <wp:anchor distT="0" distB="0" distL="114300" distR="114300" simplePos="0" relativeHeight="251659264" behindDoc="1" locked="0" layoutInCell="1" allowOverlap="1" wp14:anchorId="79915C85" wp14:editId="2AFD038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2784" cy="10682992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7DE8"/>
    <w:multiLevelType w:val="hybridMultilevel"/>
    <w:tmpl w:val="0B5AE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123D5"/>
    <w:multiLevelType w:val="hybridMultilevel"/>
    <w:tmpl w:val="E8801EE8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4344"/>
    <w:multiLevelType w:val="multilevel"/>
    <w:tmpl w:val="787E05A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A477C1E"/>
    <w:multiLevelType w:val="multilevel"/>
    <w:tmpl w:val="A4D8726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42F79E1"/>
    <w:multiLevelType w:val="hybridMultilevel"/>
    <w:tmpl w:val="0964A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E72D9"/>
    <w:multiLevelType w:val="hybridMultilevel"/>
    <w:tmpl w:val="44E0BC3E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F5A89"/>
    <w:multiLevelType w:val="hybridMultilevel"/>
    <w:tmpl w:val="1E305A3C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33DE0"/>
    <w:multiLevelType w:val="hybridMultilevel"/>
    <w:tmpl w:val="003C5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F210A"/>
    <w:multiLevelType w:val="hybridMultilevel"/>
    <w:tmpl w:val="6D608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96EED"/>
    <w:multiLevelType w:val="multilevel"/>
    <w:tmpl w:val="949A6DEC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89A46CB"/>
    <w:multiLevelType w:val="hybridMultilevel"/>
    <w:tmpl w:val="2B0CD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87463"/>
    <w:multiLevelType w:val="hybridMultilevel"/>
    <w:tmpl w:val="BC266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C286F"/>
    <w:multiLevelType w:val="hybridMultilevel"/>
    <w:tmpl w:val="6FA4723E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C5BBB"/>
    <w:multiLevelType w:val="hybridMultilevel"/>
    <w:tmpl w:val="9FD062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114262"/>
    <w:multiLevelType w:val="hybridMultilevel"/>
    <w:tmpl w:val="C9566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E3B2E"/>
    <w:multiLevelType w:val="multilevel"/>
    <w:tmpl w:val="1ECE0C86"/>
    <w:styleLink w:val="WWNum1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1E56ADF"/>
    <w:multiLevelType w:val="hybridMultilevel"/>
    <w:tmpl w:val="840C346E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77A6B"/>
    <w:multiLevelType w:val="hybridMultilevel"/>
    <w:tmpl w:val="5994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C32A4"/>
    <w:multiLevelType w:val="hybridMultilevel"/>
    <w:tmpl w:val="101E9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D00C7"/>
    <w:multiLevelType w:val="hybridMultilevel"/>
    <w:tmpl w:val="EFAA0822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2"/>
  </w:num>
  <w:num w:numId="5">
    <w:abstractNumId w:val="11"/>
  </w:num>
  <w:num w:numId="6">
    <w:abstractNumId w:val="14"/>
  </w:num>
  <w:num w:numId="7">
    <w:abstractNumId w:val="8"/>
  </w:num>
  <w:num w:numId="8">
    <w:abstractNumId w:val="0"/>
  </w:num>
  <w:num w:numId="9">
    <w:abstractNumId w:val="12"/>
  </w:num>
  <w:num w:numId="10">
    <w:abstractNumId w:val="18"/>
  </w:num>
  <w:num w:numId="11">
    <w:abstractNumId w:val="5"/>
  </w:num>
  <w:num w:numId="12">
    <w:abstractNumId w:val="13"/>
  </w:num>
  <w:num w:numId="13">
    <w:abstractNumId w:val="15"/>
  </w:num>
  <w:num w:numId="14">
    <w:abstractNumId w:val="1"/>
  </w:num>
  <w:num w:numId="15">
    <w:abstractNumId w:val="6"/>
  </w:num>
  <w:num w:numId="16">
    <w:abstractNumId w:val="7"/>
  </w:num>
  <w:num w:numId="17">
    <w:abstractNumId w:val="20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0D"/>
    <w:rsid w:val="00000F52"/>
    <w:rsid w:val="00033270"/>
    <w:rsid w:val="000374B3"/>
    <w:rsid w:val="00042EAC"/>
    <w:rsid w:val="0006173A"/>
    <w:rsid w:val="000759F0"/>
    <w:rsid w:val="00092633"/>
    <w:rsid w:val="000A24DA"/>
    <w:rsid w:val="000B267A"/>
    <w:rsid w:val="000D495F"/>
    <w:rsid w:val="00123EF1"/>
    <w:rsid w:val="00195119"/>
    <w:rsid w:val="001A403B"/>
    <w:rsid w:val="001B3160"/>
    <w:rsid w:val="001C2725"/>
    <w:rsid w:val="001C39BF"/>
    <w:rsid w:val="001D4675"/>
    <w:rsid w:val="001E6B62"/>
    <w:rsid w:val="00201B53"/>
    <w:rsid w:val="0026454A"/>
    <w:rsid w:val="002823AB"/>
    <w:rsid w:val="002A44BA"/>
    <w:rsid w:val="002B0553"/>
    <w:rsid w:val="002B1CD0"/>
    <w:rsid w:val="002B487D"/>
    <w:rsid w:val="002E4699"/>
    <w:rsid w:val="002F0D36"/>
    <w:rsid w:val="003071C0"/>
    <w:rsid w:val="00343785"/>
    <w:rsid w:val="0036264A"/>
    <w:rsid w:val="003853C2"/>
    <w:rsid w:val="0039585E"/>
    <w:rsid w:val="003A044A"/>
    <w:rsid w:val="003A72C7"/>
    <w:rsid w:val="003A7805"/>
    <w:rsid w:val="003B2308"/>
    <w:rsid w:val="003B7719"/>
    <w:rsid w:val="003C12E6"/>
    <w:rsid w:val="003C3561"/>
    <w:rsid w:val="003C36CC"/>
    <w:rsid w:val="003D4022"/>
    <w:rsid w:val="00405F03"/>
    <w:rsid w:val="00431734"/>
    <w:rsid w:val="0046000D"/>
    <w:rsid w:val="004B0F63"/>
    <w:rsid w:val="004C5AC2"/>
    <w:rsid w:val="004F68BB"/>
    <w:rsid w:val="00506FE8"/>
    <w:rsid w:val="00521A56"/>
    <w:rsid w:val="00530DB0"/>
    <w:rsid w:val="00565892"/>
    <w:rsid w:val="00597A11"/>
    <w:rsid w:val="005A0D4F"/>
    <w:rsid w:val="005E1A0D"/>
    <w:rsid w:val="005E2ACF"/>
    <w:rsid w:val="005E4263"/>
    <w:rsid w:val="00613F3B"/>
    <w:rsid w:val="006220E0"/>
    <w:rsid w:val="0063097B"/>
    <w:rsid w:val="00633279"/>
    <w:rsid w:val="00655EEE"/>
    <w:rsid w:val="0065646D"/>
    <w:rsid w:val="006E6F4B"/>
    <w:rsid w:val="006F0F44"/>
    <w:rsid w:val="007210A7"/>
    <w:rsid w:val="007535B3"/>
    <w:rsid w:val="0077373D"/>
    <w:rsid w:val="007807E5"/>
    <w:rsid w:val="007B7469"/>
    <w:rsid w:val="007E39E9"/>
    <w:rsid w:val="008054B5"/>
    <w:rsid w:val="00811380"/>
    <w:rsid w:val="00843898"/>
    <w:rsid w:val="008807B9"/>
    <w:rsid w:val="00885CE1"/>
    <w:rsid w:val="008A191F"/>
    <w:rsid w:val="008B32CD"/>
    <w:rsid w:val="008B4C90"/>
    <w:rsid w:val="008C58E5"/>
    <w:rsid w:val="008D5A93"/>
    <w:rsid w:val="00910D15"/>
    <w:rsid w:val="00920B2B"/>
    <w:rsid w:val="00925D9B"/>
    <w:rsid w:val="009314CC"/>
    <w:rsid w:val="00937E2C"/>
    <w:rsid w:val="009447C4"/>
    <w:rsid w:val="00945A5F"/>
    <w:rsid w:val="00983C30"/>
    <w:rsid w:val="00985941"/>
    <w:rsid w:val="00995837"/>
    <w:rsid w:val="009A362F"/>
    <w:rsid w:val="009A7531"/>
    <w:rsid w:val="009B1E9C"/>
    <w:rsid w:val="009B267D"/>
    <w:rsid w:val="00A219EC"/>
    <w:rsid w:val="00A228A8"/>
    <w:rsid w:val="00A26AA6"/>
    <w:rsid w:val="00A81012"/>
    <w:rsid w:val="00A911C8"/>
    <w:rsid w:val="00AB00F9"/>
    <w:rsid w:val="00AB7C7F"/>
    <w:rsid w:val="00AC57FA"/>
    <w:rsid w:val="00AD281A"/>
    <w:rsid w:val="00AE6855"/>
    <w:rsid w:val="00B02440"/>
    <w:rsid w:val="00B15DCD"/>
    <w:rsid w:val="00B341BE"/>
    <w:rsid w:val="00B54E9E"/>
    <w:rsid w:val="00B60952"/>
    <w:rsid w:val="00B908D5"/>
    <w:rsid w:val="00B97CEC"/>
    <w:rsid w:val="00BA0219"/>
    <w:rsid w:val="00BB4BCD"/>
    <w:rsid w:val="00BB65A6"/>
    <w:rsid w:val="00C00DE2"/>
    <w:rsid w:val="00C2015F"/>
    <w:rsid w:val="00C439F0"/>
    <w:rsid w:val="00C720DF"/>
    <w:rsid w:val="00C77792"/>
    <w:rsid w:val="00CB0B39"/>
    <w:rsid w:val="00CB544C"/>
    <w:rsid w:val="00CD70C5"/>
    <w:rsid w:val="00CE67CC"/>
    <w:rsid w:val="00CF4363"/>
    <w:rsid w:val="00CF562E"/>
    <w:rsid w:val="00D373B5"/>
    <w:rsid w:val="00D42352"/>
    <w:rsid w:val="00D427AC"/>
    <w:rsid w:val="00D44481"/>
    <w:rsid w:val="00D64AD5"/>
    <w:rsid w:val="00D74146"/>
    <w:rsid w:val="00D74BED"/>
    <w:rsid w:val="00D829DE"/>
    <w:rsid w:val="00D9237F"/>
    <w:rsid w:val="00DB49F9"/>
    <w:rsid w:val="00DC728F"/>
    <w:rsid w:val="00DE2643"/>
    <w:rsid w:val="00DE728A"/>
    <w:rsid w:val="00E23DA4"/>
    <w:rsid w:val="00E24B32"/>
    <w:rsid w:val="00E86BCC"/>
    <w:rsid w:val="00E87CC4"/>
    <w:rsid w:val="00E95572"/>
    <w:rsid w:val="00EC0DD7"/>
    <w:rsid w:val="00EC1C28"/>
    <w:rsid w:val="00ED3C1C"/>
    <w:rsid w:val="00EF6F81"/>
    <w:rsid w:val="00F23CB1"/>
    <w:rsid w:val="00F43547"/>
    <w:rsid w:val="00F921AB"/>
    <w:rsid w:val="00F92898"/>
    <w:rsid w:val="00F94E30"/>
    <w:rsid w:val="00FB1D42"/>
    <w:rsid w:val="00FB5008"/>
    <w:rsid w:val="00FE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C734"/>
  <w15:docId w15:val="{EF883F82-CE73-4286-8157-03AA2DDA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uiPriority w:val="99"/>
    <w:pPr>
      <w:suppressAutoHyphens/>
    </w:pPr>
    <w:rPr>
      <w:rFonts w:ascii="Times New Roman" w:eastAsia="Times New Roman" w:hAnsi="Times New Roman" w:cs="Times New Roman"/>
      <w:color w:val="00000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paragraph" w:styleId="Odstavecseseznamem">
    <w:name w:val="List Paragraph"/>
    <w:basedOn w:val="Normln"/>
    <w:link w:val="OdstavecseseznamemChar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PedmtkomenteChar">
    <w:name w:val="Předmět komentáře Char"/>
    <w:basedOn w:val="TextkomenteChar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rPr>
      <w:rFonts w:ascii="Segoe UI" w:hAnsi="Segoe UI" w:cs="Mangal"/>
      <w:sz w:val="18"/>
      <w:szCs w:val="16"/>
    </w:rPr>
  </w:style>
  <w:style w:type="numbering" w:customStyle="1" w:styleId="WW8Num22">
    <w:name w:val="WW8Num22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character" w:customStyle="1" w:styleId="OdstavecseseznamemChar">
    <w:name w:val="Odstavec se seznamem Char"/>
    <w:link w:val="Odstavecseseznamem"/>
    <w:uiPriority w:val="34"/>
    <w:locked/>
    <w:rsid w:val="003C12E6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Hypertextovodkaz">
    <w:name w:val="Hyperlink"/>
    <w:basedOn w:val="Standardnpsmoodstavce"/>
    <w:uiPriority w:val="99"/>
    <w:unhideWhenUsed/>
    <w:rsid w:val="003C12E6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317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43173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odbornici/informace-pro-projektanty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BFB02-3DC2-41AB-B98B-486D8000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975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Jana Kočnarová</dc:creator>
  <cp:lastModifiedBy>Lacinová Lenka</cp:lastModifiedBy>
  <cp:revision>6</cp:revision>
  <cp:lastPrinted>2021-11-12T14:02:00Z</cp:lastPrinted>
  <dcterms:created xsi:type="dcterms:W3CDTF">2024-02-20T09:48:00Z</dcterms:created>
  <dcterms:modified xsi:type="dcterms:W3CDTF">2024-02-21T11:51:00Z</dcterms:modified>
</cp:coreProperties>
</file>